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68" w:rsidRPr="00032368" w:rsidRDefault="00032368" w:rsidP="00032368">
      <w:pPr>
        <w:jc w:val="center"/>
        <w:rPr>
          <w:b/>
          <w:sz w:val="26"/>
          <w:szCs w:val="26"/>
        </w:rPr>
      </w:pPr>
      <w:r w:rsidRPr="00032368">
        <w:rPr>
          <w:b/>
          <w:sz w:val="26"/>
          <w:szCs w:val="26"/>
        </w:rPr>
        <w:t>АДМИНИСТРАЦИЯ ПЕРВОМАЙСКОГО РАЙОНА</w:t>
      </w:r>
    </w:p>
    <w:p w:rsidR="00032368" w:rsidRPr="00032368" w:rsidRDefault="00032368" w:rsidP="00032368">
      <w:pPr>
        <w:jc w:val="center"/>
        <w:rPr>
          <w:b/>
          <w:sz w:val="26"/>
          <w:szCs w:val="26"/>
        </w:rPr>
      </w:pPr>
    </w:p>
    <w:p w:rsidR="003F4623" w:rsidRDefault="00032368" w:rsidP="00032368">
      <w:pPr>
        <w:jc w:val="center"/>
        <w:rPr>
          <w:b/>
          <w:sz w:val="32"/>
          <w:szCs w:val="32"/>
        </w:rPr>
      </w:pPr>
      <w:r w:rsidRPr="00032368">
        <w:rPr>
          <w:b/>
          <w:sz w:val="32"/>
          <w:szCs w:val="32"/>
        </w:rPr>
        <w:t>ПОСТАНОВЛЕНИЕ</w:t>
      </w:r>
    </w:p>
    <w:p w:rsidR="00032368" w:rsidRDefault="00996087" w:rsidP="00032368">
      <w:pPr>
        <w:rPr>
          <w:sz w:val="25"/>
          <w:szCs w:val="25"/>
        </w:rPr>
      </w:pPr>
      <w:r>
        <w:rPr>
          <w:sz w:val="26"/>
          <w:szCs w:val="26"/>
        </w:rPr>
        <w:t>01</w:t>
      </w:r>
      <w:r w:rsidR="005872E4">
        <w:rPr>
          <w:sz w:val="26"/>
          <w:szCs w:val="26"/>
        </w:rPr>
        <w:t>.06.2018</w:t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  <w:t xml:space="preserve">                     № 11</w:t>
      </w:r>
      <w:r>
        <w:rPr>
          <w:sz w:val="26"/>
          <w:szCs w:val="26"/>
        </w:rPr>
        <w:t>5</w:t>
      </w:r>
    </w:p>
    <w:p w:rsidR="005872E4" w:rsidRDefault="005872E4" w:rsidP="005872E4">
      <w:pPr>
        <w:jc w:val="center"/>
        <w:rPr>
          <w:sz w:val="26"/>
          <w:szCs w:val="26"/>
        </w:rPr>
      </w:pPr>
    </w:p>
    <w:p w:rsidR="005872E4" w:rsidRDefault="00996087" w:rsidP="00996087">
      <w:pPr>
        <w:jc w:val="center"/>
        <w:rPr>
          <w:sz w:val="26"/>
          <w:szCs w:val="26"/>
        </w:rPr>
      </w:pPr>
      <w:r w:rsidRPr="00996087">
        <w:rPr>
          <w:sz w:val="26"/>
          <w:szCs w:val="26"/>
        </w:rPr>
        <w:t>О внесении изменений в  постановление Администрации Первомайского района от 15.10.2015 № 219  «Об утверждении муниципальной программы «Газификация Первомайского района на 2016-2018 годы»</w:t>
      </w:r>
    </w:p>
    <w:p w:rsidR="005872E4" w:rsidRPr="005872E4" w:rsidRDefault="005872E4" w:rsidP="005872E4">
      <w:pPr>
        <w:jc w:val="both"/>
        <w:rPr>
          <w:sz w:val="26"/>
          <w:szCs w:val="26"/>
        </w:rPr>
      </w:pPr>
    </w:p>
    <w:p w:rsidR="00996087" w:rsidRPr="00996087" w:rsidRDefault="00996087" w:rsidP="00996087">
      <w:pPr>
        <w:tabs>
          <w:tab w:val="left" w:pos="3015"/>
        </w:tabs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996087">
        <w:rPr>
          <w:rFonts w:eastAsia="MS Mincho"/>
          <w:sz w:val="26"/>
          <w:szCs w:val="26"/>
          <w:lang w:eastAsia="ja-JP"/>
        </w:rPr>
        <w:t>В соответствии со статьей 179 Бюджетного Кодекса Российской Федерации в целях приведения в соответствие с требованиями действующего законодательства,</w:t>
      </w:r>
    </w:p>
    <w:p w:rsidR="00996087" w:rsidRPr="00996087" w:rsidRDefault="00996087" w:rsidP="00996087">
      <w:pPr>
        <w:tabs>
          <w:tab w:val="left" w:pos="1725"/>
        </w:tabs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>Постановляю</w:t>
      </w:r>
      <w:r w:rsidRPr="00996087">
        <w:rPr>
          <w:rFonts w:eastAsia="MS Mincho"/>
          <w:sz w:val="26"/>
          <w:szCs w:val="26"/>
          <w:lang w:eastAsia="ja-JP"/>
        </w:rPr>
        <w:t>:</w:t>
      </w:r>
    </w:p>
    <w:p w:rsidR="00996087" w:rsidRPr="00996087" w:rsidRDefault="00996087" w:rsidP="00996087">
      <w:pPr>
        <w:numPr>
          <w:ilvl w:val="0"/>
          <w:numId w:val="4"/>
        </w:numPr>
        <w:suppressAutoHyphens w:val="0"/>
        <w:ind w:left="284" w:hanging="218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Внести изменения в приложение к постановлению Администрации 219  «Об утверждении муниципальной программы «Газификация Первомайского района на 2016-2018 годы» Первомайского района от 15.10.2015 №219 (Далее приложение), а именно:</w:t>
      </w:r>
    </w:p>
    <w:p w:rsidR="00996087" w:rsidRPr="00996087" w:rsidRDefault="00996087" w:rsidP="00996087">
      <w:pPr>
        <w:numPr>
          <w:ilvl w:val="1"/>
          <w:numId w:val="4"/>
        </w:numPr>
        <w:tabs>
          <w:tab w:val="left" w:pos="709"/>
        </w:tabs>
        <w:suppressAutoHyphens w:val="0"/>
        <w:ind w:left="1418" w:hanging="1134"/>
        <w:jc w:val="both"/>
        <w:rPr>
          <w:rFonts w:ascii="Calibri" w:hAnsi="Calibri"/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Паспорт Программы изложить в новой редакции:</w:t>
      </w:r>
    </w:p>
    <w:p w:rsidR="00996087" w:rsidRPr="00996087" w:rsidRDefault="00996087" w:rsidP="00996087">
      <w:pPr>
        <w:suppressAutoHyphens w:val="0"/>
        <w:jc w:val="center"/>
        <w:rPr>
          <w:b/>
          <w:lang w:eastAsia="ru-RU"/>
        </w:rPr>
      </w:pPr>
    </w:p>
    <w:p w:rsidR="00996087" w:rsidRPr="00996087" w:rsidRDefault="00996087" w:rsidP="00996087">
      <w:pPr>
        <w:suppressAutoHyphens w:val="0"/>
        <w:jc w:val="center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Муниципальная программа Первомайского района Томской области</w:t>
      </w:r>
    </w:p>
    <w:p w:rsidR="00996087" w:rsidRDefault="00996087" w:rsidP="00996087">
      <w:pPr>
        <w:suppressAutoHyphens w:val="0"/>
        <w:jc w:val="center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«Газификация Первомайского  района на 2016-2018 год и плановый период 2019 и 2020 годов»</w:t>
      </w:r>
    </w:p>
    <w:p w:rsidR="00996087" w:rsidRDefault="00996087" w:rsidP="00996087">
      <w:pPr>
        <w:suppressAutoHyphens w:val="0"/>
        <w:jc w:val="center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Паспорт Программы</w:t>
      </w:r>
    </w:p>
    <w:tbl>
      <w:tblPr>
        <w:tblW w:w="10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012"/>
        <w:gridCol w:w="1184"/>
        <w:gridCol w:w="841"/>
        <w:gridCol w:w="1012"/>
        <w:gridCol w:w="1013"/>
        <w:gridCol w:w="1103"/>
        <w:gridCol w:w="1099"/>
      </w:tblGrid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Наименование МП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rPr>
                <w:b/>
                <w:lang w:eastAsia="ru-RU"/>
              </w:rPr>
            </w:pPr>
            <w:r w:rsidRPr="00996087">
              <w:rPr>
                <w:lang w:eastAsia="ru-RU"/>
              </w:rPr>
              <w:t xml:space="preserve">Муниципальная программа  Первомайского района Томской области </w:t>
            </w:r>
            <w:r w:rsidRPr="00996087">
              <w:rPr>
                <w:sz w:val="22"/>
                <w:szCs w:val="22"/>
                <w:lang w:eastAsia="ru-RU"/>
              </w:rPr>
              <w:t>«</w:t>
            </w:r>
            <w:r w:rsidRPr="00996087">
              <w:rPr>
                <w:lang w:eastAsia="ru-RU"/>
              </w:rPr>
              <w:t xml:space="preserve">Газификация Первомайского района на 2016-2018 год </w:t>
            </w:r>
            <w:r w:rsidRPr="00996087">
              <w:rPr>
                <w:b/>
                <w:lang w:eastAsia="ru-RU"/>
              </w:rPr>
              <w:t>и плановый период 2019 и 2020 годов»</w:t>
            </w:r>
          </w:p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 xml:space="preserve"> (далее – Программа)</w:t>
            </w:r>
          </w:p>
        </w:tc>
      </w:tr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Координатор  МП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96087">
              <w:rPr>
                <w:sz w:val="22"/>
                <w:szCs w:val="22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Заказчик МП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Администрация Первомайского района</w:t>
            </w:r>
          </w:p>
        </w:tc>
      </w:tr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Соисполнители МП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sz w:val="22"/>
                <w:szCs w:val="22"/>
                <w:lang w:eastAsia="ru-RU"/>
              </w:rPr>
              <w:t>Отдел строительства, архитектуры и ЖКХ Администрации Первомайского района, Управление имущественных отношений Администрации Первомайского района</w:t>
            </w:r>
          </w:p>
        </w:tc>
      </w:tr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Стратегическая цель социально-экономического развития Первомайского района до 2030 года, на которую направлена реализация МП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Сохранение и развитие человеческого потенциала территории</w:t>
            </w:r>
          </w:p>
        </w:tc>
      </w:tr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Цель МП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Газификация жилищного фонда с. Первомайского путем создания условий доступа к услуге газоснабжения</w:t>
            </w:r>
          </w:p>
        </w:tc>
      </w:tr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Показатели цели МП</w:t>
            </w:r>
          </w:p>
        </w:tc>
        <w:tc>
          <w:tcPr>
            <w:tcW w:w="7264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8"/>
              <w:gridCol w:w="992"/>
              <w:gridCol w:w="850"/>
              <w:gridCol w:w="851"/>
            </w:tblGrid>
            <w:tr w:rsidR="00996087" w:rsidRPr="00996087" w:rsidTr="00FF64DD">
              <w:trPr>
                <w:trHeight w:val="509"/>
              </w:trPr>
              <w:tc>
                <w:tcPr>
                  <w:tcW w:w="3748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992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2016</w:t>
                  </w:r>
                </w:p>
              </w:tc>
              <w:tc>
                <w:tcPr>
                  <w:tcW w:w="850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2018</w:t>
                  </w:r>
                </w:p>
              </w:tc>
            </w:tr>
            <w:tr w:rsidR="00996087" w:rsidRPr="00996087" w:rsidTr="00FF64DD">
              <w:tc>
                <w:tcPr>
                  <w:tcW w:w="3748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 xml:space="preserve">Уровень газификации природным газом жилищного фонда с. Первомайское, подлежащего газификации, % </w:t>
                  </w:r>
                </w:p>
              </w:tc>
              <w:tc>
                <w:tcPr>
                  <w:tcW w:w="992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14,86</w:t>
                  </w:r>
                </w:p>
              </w:tc>
              <w:tc>
                <w:tcPr>
                  <w:tcW w:w="850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41,05</w:t>
                  </w:r>
                </w:p>
              </w:tc>
              <w:tc>
                <w:tcPr>
                  <w:tcW w:w="851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67,25</w:t>
                  </w:r>
                </w:p>
              </w:tc>
            </w:tr>
          </w:tbl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Задачи МП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Организация строительства внутрипоселковых газопроводов;</w:t>
            </w:r>
          </w:p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Обеспечение технической возможности подключения потребителей к сети газоснабжения.</w:t>
            </w:r>
          </w:p>
        </w:tc>
      </w:tr>
      <w:tr w:rsidR="00996087" w:rsidRPr="00996087" w:rsidTr="00FF64DD">
        <w:trPr>
          <w:trHeight w:val="774"/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Показатели задач МП</w:t>
            </w:r>
          </w:p>
        </w:tc>
        <w:tc>
          <w:tcPr>
            <w:tcW w:w="7264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8"/>
              <w:gridCol w:w="709"/>
              <w:gridCol w:w="850"/>
              <w:gridCol w:w="851"/>
            </w:tblGrid>
            <w:tr w:rsidR="00996087" w:rsidRPr="00996087" w:rsidTr="00FF64DD">
              <w:trPr>
                <w:trHeight w:val="509"/>
              </w:trPr>
              <w:tc>
                <w:tcPr>
                  <w:tcW w:w="3748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709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2016</w:t>
                  </w:r>
                </w:p>
              </w:tc>
              <w:tc>
                <w:tcPr>
                  <w:tcW w:w="850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2018</w:t>
                  </w:r>
                </w:p>
              </w:tc>
            </w:tr>
            <w:tr w:rsidR="00996087" w:rsidRPr="00996087" w:rsidTr="00FF64DD">
              <w:tc>
                <w:tcPr>
                  <w:tcW w:w="3748" w:type="dxa"/>
                </w:tcPr>
                <w:p w:rsidR="00996087" w:rsidRPr="00996087" w:rsidRDefault="00996087" w:rsidP="00996087">
                  <w:pPr>
                    <w:numPr>
                      <w:ilvl w:val="0"/>
                      <w:numId w:val="3"/>
                    </w:numPr>
                    <w:suppressAutoHyphens w:val="0"/>
                    <w:overflowPunct w:val="0"/>
                    <w:autoSpaceDE w:val="0"/>
                    <w:autoSpaceDN w:val="0"/>
                    <w:adjustRightInd w:val="0"/>
                    <w:ind w:left="0" w:firstLine="0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 xml:space="preserve">Протяженность внутрипоселковых газопроводов, </w:t>
                  </w:r>
                  <w:r w:rsidRPr="00996087">
                    <w:rPr>
                      <w:lang w:eastAsia="ru-RU"/>
                    </w:rPr>
                    <w:lastRenderedPageBreak/>
                    <w:t>в том числе введенных в эксплуатацию, 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lastRenderedPageBreak/>
                    <w:t>26,8</w:t>
                  </w:r>
                </w:p>
              </w:tc>
              <w:tc>
                <w:tcPr>
                  <w:tcW w:w="850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25,2</w:t>
                  </w:r>
                </w:p>
              </w:tc>
              <w:tc>
                <w:tcPr>
                  <w:tcW w:w="851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14,9</w:t>
                  </w:r>
                </w:p>
              </w:tc>
            </w:tr>
            <w:tr w:rsidR="00996087" w:rsidRPr="00996087" w:rsidTr="00FF64DD">
              <w:tc>
                <w:tcPr>
                  <w:tcW w:w="3748" w:type="dxa"/>
                </w:tcPr>
                <w:p w:rsidR="00996087" w:rsidRPr="00996087" w:rsidRDefault="00996087" w:rsidP="00996087">
                  <w:pPr>
                    <w:numPr>
                      <w:ilvl w:val="0"/>
                      <w:numId w:val="3"/>
                    </w:numPr>
                    <w:suppressAutoHyphens w:val="0"/>
                    <w:overflowPunct w:val="0"/>
                    <w:autoSpaceDE w:val="0"/>
                    <w:autoSpaceDN w:val="0"/>
                    <w:adjustRightInd w:val="0"/>
                    <w:ind w:left="0" w:firstLine="0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lastRenderedPageBreak/>
                    <w:t>Количество домовладений, имеющих возможность подключения к газораспределительным сетям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397</w:t>
                  </w:r>
                </w:p>
              </w:tc>
              <w:tc>
                <w:tcPr>
                  <w:tcW w:w="850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700</w:t>
                  </w:r>
                </w:p>
              </w:tc>
              <w:tc>
                <w:tcPr>
                  <w:tcW w:w="851" w:type="dxa"/>
                  <w:vAlign w:val="center"/>
                </w:tcPr>
                <w:p w:rsidR="00996087" w:rsidRPr="00996087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996087">
                    <w:rPr>
                      <w:lang w:eastAsia="ru-RU"/>
                    </w:rPr>
                    <w:t>700</w:t>
                  </w:r>
                </w:p>
              </w:tc>
            </w:tr>
          </w:tbl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</w:p>
        </w:tc>
      </w:tr>
      <w:tr w:rsidR="00996087" w:rsidRPr="00996087" w:rsidTr="00FF64DD">
        <w:trPr>
          <w:trHeight w:val="1112"/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lastRenderedPageBreak/>
              <w:t>Сроки и этапы и реализации программы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96087">
              <w:rPr>
                <w:sz w:val="22"/>
                <w:szCs w:val="22"/>
                <w:lang w:eastAsia="ru-RU"/>
              </w:rPr>
              <w:t>Программа реализуется в 6 этапов:</w:t>
            </w:r>
          </w:p>
          <w:p w:rsidR="00996087" w:rsidRPr="00996087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96087">
              <w:rPr>
                <w:sz w:val="22"/>
                <w:szCs w:val="22"/>
                <w:lang w:eastAsia="ru-RU"/>
              </w:rPr>
              <w:t>2018 год – 1 этап</w:t>
            </w:r>
          </w:p>
          <w:p w:rsidR="00996087" w:rsidRPr="00996087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96087">
              <w:rPr>
                <w:sz w:val="22"/>
                <w:szCs w:val="22"/>
                <w:lang w:eastAsia="ru-RU"/>
              </w:rPr>
              <w:t>2019 год – 2,3 этапы</w:t>
            </w:r>
          </w:p>
          <w:p w:rsidR="00996087" w:rsidRPr="00996087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96087">
              <w:rPr>
                <w:sz w:val="22"/>
                <w:szCs w:val="22"/>
                <w:lang w:eastAsia="ru-RU"/>
              </w:rPr>
              <w:t>2020 год – 4,5,6 этапы</w:t>
            </w:r>
          </w:p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  <w:r w:rsidRPr="00996087">
              <w:rPr>
                <w:sz w:val="22"/>
                <w:szCs w:val="22"/>
                <w:lang w:eastAsia="ru-RU"/>
              </w:rPr>
              <w:t>Срок реализации программы: 2016-2020 годы</w:t>
            </w:r>
          </w:p>
        </w:tc>
      </w:tr>
      <w:tr w:rsidR="00996087" w:rsidRPr="00996087" w:rsidTr="00FF64DD">
        <w:trPr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Перечень подпрограмм</w:t>
            </w:r>
          </w:p>
        </w:tc>
        <w:tc>
          <w:tcPr>
            <w:tcW w:w="7264" w:type="dxa"/>
            <w:gridSpan w:val="7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996087" w:rsidRPr="00996087" w:rsidTr="00FF64DD">
        <w:trPr>
          <w:trHeight w:val="276"/>
          <w:jc w:val="right"/>
        </w:trPr>
        <w:tc>
          <w:tcPr>
            <w:tcW w:w="3261" w:type="dxa"/>
            <w:vMerge w:val="restart"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Объем и источники потребности в финансировании (с детализацией по годам реализации, тыс.руб)</w:t>
            </w: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Источники</w:t>
            </w:r>
          </w:p>
        </w:tc>
        <w:tc>
          <w:tcPr>
            <w:tcW w:w="1184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Всего</w:t>
            </w:r>
          </w:p>
        </w:tc>
        <w:tc>
          <w:tcPr>
            <w:tcW w:w="841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2016</w:t>
            </w: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2017</w:t>
            </w:r>
          </w:p>
        </w:tc>
        <w:tc>
          <w:tcPr>
            <w:tcW w:w="1013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2018</w:t>
            </w:r>
          </w:p>
        </w:tc>
        <w:tc>
          <w:tcPr>
            <w:tcW w:w="110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lang w:eastAsia="ja-JP"/>
              </w:rPr>
            </w:pPr>
            <w:r w:rsidRPr="00996087">
              <w:rPr>
                <w:rFonts w:eastAsia="MS Mincho"/>
                <w:lang w:eastAsia="ja-JP"/>
              </w:rPr>
              <w:t>2019</w:t>
            </w:r>
          </w:p>
        </w:tc>
        <w:tc>
          <w:tcPr>
            <w:tcW w:w="1099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lang w:eastAsia="ja-JP"/>
              </w:rPr>
            </w:pPr>
            <w:r w:rsidRPr="00996087">
              <w:rPr>
                <w:rFonts w:eastAsia="MS Mincho"/>
                <w:lang w:eastAsia="ja-JP"/>
              </w:rPr>
              <w:t>2020</w:t>
            </w:r>
          </w:p>
        </w:tc>
      </w:tr>
      <w:tr w:rsidR="00996087" w:rsidRPr="00996087" w:rsidTr="00FF64DD">
        <w:trPr>
          <w:trHeight w:val="276"/>
          <w:jc w:val="right"/>
        </w:trPr>
        <w:tc>
          <w:tcPr>
            <w:tcW w:w="3261" w:type="dxa"/>
            <w:vMerge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федеральный бюджет  (по согласованию)</w:t>
            </w:r>
          </w:p>
        </w:tc>
        <w:tc>
          <w:tcPr>
            <w:tcW w:w="1184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74302,8</w:t>
            </w:r>
          </w:p>
        </w:tc>
        <w:tc>
          <w:tcPr>
            <w:tcW w:w="841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25113,8</w:t>
            </w:r>
          </w:p>
        </w:tc>
        <w:tc>
          <w:tcPr>
            <w:tcW w:w="110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24296,0</w:t>
            </w:r>
          </w:p>
        </w:tc>
        <w:tc>
          <w:tcPr>
            <w:tcW w:w="1099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24893,0</w:t>
            </w:r>
          </w:p>
        </w:tc>
      </w:tr>
      <w:tr w:rsidR="00996087" w:rsidRPr="00996087" w:rsidTr="00FF64DD">
        <w:trPr>
          <w:trHeight w:val="276"/>
          <w:jc w:val="right"/>
        </w:trPr>
        <w:tc>
          <w:tcPr>
            <w:tcW w:w="3261" w:type="dxa"/>
            <w:vMerge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1184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63837,9</w:t>
            </w:r>
          </w:p>
        </w:tc>
        <w:tc>
          <w:tcPr>
            <w:tcW w:w="841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22476,2</w:t>
            </w:r>
          </w:p>
        </w:tc>
        <w:tc>
          <w:tcPr>
            <w:tcW w:w="110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24766,3</w:t>
            </w:r>
          </w:p>
        </w:tc>
        <w:tc>
          <w:tcPr>
            <w:tcW w:w="1099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16595,4</w:t>
            </w:r>
          </w:p>
        </w:tc>
      </w:tr>
      <w:tr w:rsidR="00996087" w:rsidRPr="00996087" w:rsidTr="00FF64DD">
        <w:trPr>
          <w:trHeight w:val="276"/>
          <w:jc w:val="right"/>
        </w:trPr>
        <w:tc>
          <w:tcPr>
            <w:tcW w:w="3261" w:type="dxa"/>
            <w:vMerge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84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1461,307</w:t>
            </w:r>
          </w:p>
        </w:tc>
        <w:tc>
          <w:tcPr>
            <w:tcW w:w="841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555,8</w:t>
            </w:r>
          </w:p>
        </w:tc>
        <w:tc>
          <w:tcPr>
            <w:tcW w:w="110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490,623</w:t>
            </w:r>
          </w:p>
        </w:tc>
        <w:tc>
          <w:tcPr>
            <w:tcW w:w="1099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414,884</w:t>
            </w:r>
          </w:p>
        </w:tc>
      </w:tr>
      <w:tr w:rsidR="00996087" w:rsidRPr="00996087" w:rsidTr="00FF64DD">
        <w:trPr>
          <w:trHeight w:val="276"/>
          <w:jc w:val="right"/>
        </w:trPr>
        <w:tc>
          <w:tcPr>
            <w:tcW w:w="3261" w:type="dxa"/>
            <w:vMerge/>
            <w:vAlign w:val="center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184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139602,707</w:t>
            </w:r>
          </w:p>
        </w:tc>
        <w:tc>
          <w:tcPr>
            <w:tcW w:w="841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48145,8</w:t>
            </w:r>
          </w:p>
        </w:tc>
        <w:tc>
          <w:tcPr>
            <w:tcW w:w="110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49552,923</w:t>
            </w:r>
          </w:p>
        </w:tc>
        <w:tc>
          <w:tcPr>
            <w:tcW w:w="1099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41903,284</w:t>
            </w:r>
          </w:p>
        </w:tc>
      </w:tr>
      <w:tr w:rsidR="00996087" w:rsidRPr="00996087" w:rsidTr="00FF64DD">
        <w:trPr>
          <w:trHeight w:val="564"/>
          <w:jc w:val="right"/>
        </w:trPr>
        <w:tc>
          <w:tcPr>
            <w:tcW w:w="3261" w:type="dxa"/>
            <w:vMerge w:val="restart"/>
            <w:vAlign w:val="center"/>
          </w:tcPr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Объем и основные направления расходования средств (с детализацией по годам реализации, тыс.руб)</w:t>
            </w: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84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Всего</w:t>
            </w:r>
          </w:p>
        </w:tc>
        <w:tc>
          <w:tcPr>
            <w:tcW w:w="841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2016</w:t>
            </w: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2017</w:t>
            </w:r>
          </w:p>
        </w:tc>
        <w:tc>
          <w:tcPr>
            <w:tcW w:w="1013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2018</w:t>
            </w:r>
          </w:p>
        </w:tc>
        <w:tc>
          <w:tcPr>
            <w:tcW w:w="1103" w:type="dxa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2019</w:t>
            </w:r>
          </w:p>
        </w:tc>
        <w:tc>
          <w:tcPr>
            <w:tcW w:w="1099" w:type="dxa"/>
          </w:tcPr>
          <w:p w:rsidR="00996087" w:rsidRPr="00996087" w:rsidRDefault="00996087" w:rsidP="00996087">
            <w:pPr>
              <w:suppressAutoHyphens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2020</w:t>
            </w:r>
          </w:p>
        </w:tc>
        <w:bookmarkStart w:id="0" w:name="_GoBack"/>
        <w:bookmarkEnd w:id="0"/>
      </w:tr>
      <w:tr w:rsidR="00996087" w:rsidRPr="00996087" w:rsidTr="00FF64DD">
        <w:trPr>
          <w:trHeight w:val="564"/>
          <w:jc w:val="right"/>
        </w:trPr>
        <w:tc>
          <w:tcPr>
            <w:tcW w:w="3261" w:type="dxa"/>
            <w:vMerge/>
            <w:vAlign w:val="center"/>
          </w:tcPr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96087">
              <w:rPr>
                <w:lang w:eastAsia="ru-RU"/>
              </w:rPr>
              <w:t>инвестиции</w:t>
            </w:r>
          </w:p>
        </w:tc>
        <w:tc>
          <w:tcPr>
            <w:tcW w:w="1184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139602,007</w:t>
            </w:r>
          </w:p>
        </w:tc>
        <w:tc>
          <w:tcPr>
            <w:tcW w:w="841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48145,8</w:t>
            </w:r>
          </w:p>
        </w:tc>
        <w:tc>
          <w:tcPr>
            <w:tcW w:w="110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49552,923</w:t>
            </w:r>
          </w:p>
        </w:tc>
        <w:tc>
          <w:tcPr>
            <w:tcW w:w="1099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41903,284</w:t>
            </w:r>
          </w:p>
        </w:tc>
      </w:tr>
      <w:tr w:rsidR="00996087" w:rsidRPr="00996087" w:rsidTr="00FF64DD">
        <w:trPr>
          <w:trHeight w:val="564"/>
          <w:jc w:val="right"/>
        </w:trPr>
        <w:tc>
          <w:tcPr>
            <w:tcW w:w="3261" w:type="dxa"/>
            <w:vMerge/>
            <w:vAlign w:val="center"/>
          </w:tcPr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96087">
              <w:rPr>
                <w:lang w:eastAsia="ru-RU"/>
              </w:rPr>
              <w:t>НИОКР</w:t>
            </w:r>
          </w:p>
        </w:tc>
        <w:tc>
          <w:tcPr>
            <w:tcW w:w="1184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lang w:eastAsia="ru-RU"/>
              </w:rPr>
            </w:pPr>
          </w:p>
        </w:tc>
        <w:tc>
          <w:tcPr>
            <w:tcW w:w="1103" w:type="dxa"/>
          </w:tcPr>
          <w:p w:rsidR="00996087" w:rsidRPr="00996087" w:rsidRDefault="00996087" w:rsidP="0099608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996087" w:rsidRPr="00996087" w:rsidRDefault="00996087" w:rsidP="0099608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96087" w:rsidRPr="00996087" w:rsidTr="00FF64DD">
        <w:trPr>
          <w:trHeight w:val="564"/>
          <w:jc w:val="right"/>
        </w:trPr>
        <w:tc>
          <w:tcPr>
            <w:tcW w:w="3261" w:type="dxa"/>
            <w:vMerge/>
            <w:vAlign w:val="center"/>
          </w:tcPr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96087">
              <w:rPr>
                <w:lang w:eastAsia="ru-RU"/>
              </w:rPr>
              <w:t>Прочие</w:t>
            </w:r>
          </w:p>
        </w:tc>
        <w:tc>
          <w:tcPr>
            <w:tcW w:w="1184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03" w:type="dxa"/>
          </w:tcPr>
          <w:p w:rsidR="00996087" w:rsidRPr="00996087" w:rsidRDefault="00996087" w:rsidP="0099608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996087" w:rsidRPr="00996087" w:rsidRDefault="00996087" w:rsidP="0099608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96087" w:rsidRPr="00996087" w:rsidTr="00FF64DD">
        <w:trPr>
          <w:trHeight w:val="564"/>
          <w:jc w:val="right"/>
        </w:trPr>
        <w:tc>
          <w:tcPr>
            <w:tcW w:w="3261" w:type="dxa"/>
            <w:vMerge/>
            <w:vAlign w:val="center"/>
          </w:tcPr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</w:p>
        </w:tc>
        <w:tc>
          <w:tcPr>
            <w:tcW w:w="1012" w:type="dxa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96087">
              <w:rPr>
                <w:lang w:eastAsia="ru-RU"/>
              </w:rPr>
              <w:t>Всего по источникам</w:t>
            </w:r>
          </w:p>
        </w:tc>
        <w:tc>
          <w:tcPr>
            <w:tcW w:w="1184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139602,707</w:t>
            </w:r>
          </w:p>
        </w:tc>
        <w:tc>
          <w:tcPr>
            <w:tcW w:w="841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vAlign w:val="center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96087">
              <w:rPr>
                <w:sz w:val="20"/>
                <w:szCs w:val="20"/>
                <w:lang w:eastAsia="ru-RU"/>
              </w:rPr>
              <w:t>48145,8</w:t>
            </w:r>
          </w:p>
        </w:tc>
        <w:tc>
          <w:tcPr>
            <w:tcW w:w="1103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49552,923</w:t>
            </w:r>
          </w:p>
        </w:tc>
        <w:tc>
          <w:tcPr>
            <w:tcW w:w="1099" w:type="dxa"/>
            <w:vAlign w:val="center"/>
          </w:tcPr>
          <w:p w:rsidR="00996087" w:rsidRPr="00996087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96087">
              <w:rPr>
                <w:rFonts w:eastAsia="MS Mincho"/>
                <w:sz w:val="20"/>
                <w:szCs w:val="20"/>
                <w:lang w:eastAsia="ja-JP"/>
              </w:rPr>
              <w:t>41903,284</w:t>
            </w:r>
          </w:p>
        </w:tc>
      </w:tr>
      <w:tr w:rsidR="00996087" w:rsidRPr="00996087" w:rsidTr="00FF64DD">
        <w:trPr>
          <w:trHeight w:val="2282"/>
          <w:jc w:val="right"/>
        </w:trPr>
        <w:tc>
          <w:tcPr>
            <w:tcW w:w="3261" w:type="dxa"/>
            <w:vAlign w:val="center"/>
          </w:tcPr>
          <w:p w:rsidR="00996087" w:rsidRPr="00996087" w:rsidRDefault="00996087" w:rsidP="00996087">
            <w:pPr>
              <w:suppressAutoHyphens w:val="0"/>
              <w:ind w:right="142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Организация управления МП</w:t>
            </w:r>
          </w:p>
        </w:tc>
        <w:tc>
          <w:tcPr>
            <w:tcW w:w="7264" w:type="dxa"/>
            <w:gridSpan w:val="7"/>
          </w:tcPr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 xml:space="preserve">Реализацию МП осуществляет </w:t>
            </w:r>
            <w:r w:rsidRPr="00996087">
              <w:rPr>
                <w:sz w:val="22"/>
                <w:szCs w:val="22"/>
                <w:lang w:eastAsia="ru-RU"/>
              </w:rPr>
              <w:t>Отдел строительства, архитектуры и ЖКХ Администрации Первомайского района, Администрация Первомайского сельского поселения.</w:t>
            </w:r>
            <w:r w:rsidRPr="00996087">
              <w:rPr>
                <w:lang w:eastAsia="ru-RU"/>
              </w:rPr>
              <w:t xml:space="preserve"> </w:t>
            </w:r>
          </w:p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>Контроль за реализацией МП осуществляет заместитель Главы Первомайского района по строительству, ЖКХ, дорожному комплексу, ГО и ЧС.</w:t>
            </w:r>
          </w:p>
          <w:p w:rsidR="00996087" w:rsidRPr="00996087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6087">
              <w:rPr>
                <w:lang w:eastAsia="ru-RU"/>
              </w:rPr>
              <w:t xml:space="preserve">Текущий контроль и мониторинг реализации МП осуществляет </w:t>
            </w:r>
            <w:r w:rsidRPr="00996087">
              <w:rPr>
                <w:sz w:val="22"/>
                <w:szCs w:val="22"/>
                <w:lang w:eastAsia="ru-RU"/>
              </w:rPr>
              <w:t>Отдел строительства, архитектуры и ЖКХ Администрации Первомайского района</w:t>
            </w:r>
            <w:r w:rsidRPr="00996087">
              <w:rPr>
                <w:lang w:eastAsia="ru-RU"/>
              </w:rPr>
              <w:t>.</w:t>
            </w:r>
          </w:p>
        </w:tc>
      </w:tr>
    </w:tbl>
    <w:p w:rsidR="00996087" w:rsidRDefault="00996087" w:rsidP="00996087">
      <w:pPr>
        <w:numPr>
          <w:ilvl w:val="1"/>
          <w:numId w:val="4"/>
        </w:numPr>
        <w:suppressAutoHyphens w:val="0"/>
        <w:ind w:left="284" w:hanging="568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lastRenderedPageBreak/>
        <w:t xml:space="preserve">Раздел </w:t>
      </w:r>
      <w:r w:rsidRPr="00996087">
        <w:rPr>
          <w:sz w:val="26"/>
          <w:szCs w:val="26"/>
          <w:lang w:val="en-US" w:eastAsia="ru-RU"/>
        </w:rPr>
        <w:t>IV</w:t>
      </w:r>
      <w:r w:rsidRPr="00996087">
        <w:rPr>
          <w:sz w:val="26"/>
          <w:szCs w:val="26"/>
          <w:lang w:eastAsia="ru-RU"/>
        </w:rPr>
        <w:t xml:space="preserve"> изложить в новой редакции:</w:t>
      </w:r>
    </w:p>
    <w:p w:rsidR="00996087" w:rsidRPr="00996087" w:rsidRDefault="00996087" w:rsidP="00996087">
      <w:pPr>
        <w:suppressAutoHyphens w:val="0"/>
        <w:ind w:left="284"/>
        <w:rPr>
          <w:sz w:val="26"/>
          <w:szCs w:val="26"/>
          <w:lang w:eastAsia="ru-RU"/>
        </w:rPr>
      </w:pPr>
    </w:p>
    <w:p w:rsidR="00996087" w:rsidRPr="00996087" w:rsidRDefault="00996087" w:rsidP="00996087">
      <w:pPr>
        <w:suppressAutoHyphens w:val="0"/>
        <w:ind w:firstLine="360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 xml:space="preserve">       «</w:t>
      </w:r>
      <w:r w:rsidRPr="00996087">
        <w:rPr>
          <w:i/>
          <w:sz w:val="26"/>
          <w:szCs w:val="26"/>
          <w:lang w:eastAsia="ru-RU"/>
        </w:rPr>
        <w:t>Ресурсное обеспечение Программы</w:t>
      </w:r>
    </w:p>
    <w:p w:rsidR="00996087" w:rsidRDefault="00996087" w:rsidP="00996087">
      <w:pPr>
        <w:suppressAutoHyphens w:val="0"/>
        <w:ind w:left="-142" w:hanging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r w:rsidRPr="00996087">
        <w:rPr>
          <w:sz w:val="26"/>
          <w:szCs w:val="26"/>
          <w:lang w:eastAsia="ru-RU"/>
        </w:rPr>
        <w:t>Финансирование программных мероприятий по строительству внутрипоселковых газопроводов обеспечивается за счет средств местного и областного бюджетов на условиях софинансирования 1% и 99% соответственно. При запланированном финансировании мероприятий Программы на очередной финансовый год в больших или меньших объемах, чем ею предусмотрено, производится корректировка суммы финансирования по мероприятиям Программы путем внесения соответствующих изменений.</w:t>
      </w:r>
    </w:p>
    <w:p w:rsidR="00996087" w:rsidRPr="00996087" w:rsidRDefault="00996087" w:rsidP="00996087">
      <w:pPr>
        <w:suppressAutoHyphens w:val="0"/>
        <w:ind w:left="-142" w:hanging="284"/>
        <w:jc w:val="both"/>
        <w:rPr>
          <w:sz w:val="26"/>
          <w:szCs w:val="26"/>
          <w:lang w:eastAsia="ru-RU"/>
        </w:rPr>
      </w:pPr>
    </w:p>
    <w:p w:rsidR="00996087" w:rsidRPr="00996087" w:rsidRDefault="00996087" w:rsidP="00996087">
      <w:pPr>
        <w:suppressAutoHyphens w:val="0"/>
        <w:ind w:left="426" w:firstLine="425"/>
        <w:jc w:val="both"/>
        <w:rPr>
          <w:i/>
          <w:sz w:val="26"/>
          <w:szCs w:val="26"/>
          <w:lang w:eastAsia="ru-RU"/>
        </w:rPr>
      </w:pPr>
      <w:r w:rsidRPr="00996087">
        <w:rPr>
          <w:i/>
          <w:sz w:val="26"/>
          <w:szCs w:val="26"/>
          <w:lang w:eastAsia="ru-RU"/>
        </w:rPr>
        <w:t>Источники финансирования Программных мероприятий</w:t>
      </w:r>
    </w:p>
    <w:p w:rsidR="00996087" w:rsidRPr="00996087" w:rsidRDefault="00996087" w:rsidP="00996087">
      <w:pPr>
        <w:suppressAutoHyphens w:val="0"/>
        <w:ind w:left="426" w:hanging="568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Бюджетными ресурсами являются:</w:t>
      </w:r>
    </w:p>
    <w:p w:rsidR="00996087" w:rsidRPr="00996087" w:rsidRDefault="00996087" w:rsidP="00996087">
      <w:pPr>
        <w:widowControl w:val="0"/>
        <w:suppressAutoHyphens w:val="0"/>
        <w:autoSpaceDE w:val="0"/>
        <w:autoSpaceDN w:val="0"/>
        <w:adjustRightInd w:val="0"/>
        <w:ind w:left="426" w:hanging="568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- поступления по государственной программе "Повышение энергоэффективности в Томской области", подпрограмма «Повышение уровня развития газоснабжения и газификации Томской области на 2015 - 2020 годы».</w:t>
      </w:r>
    </w:p>
    <w:p w:rsidR="00996087" w:rsidRPr="00996087" w:rsidRDefault="00996087" w:rsidP="00996087">
      <w:pPr>
        <w:suppressAutoHyphens w:val="0"/>
        <w:ind w:left="993" w:hanging="568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Объем требуемых бюджетных средств на строительство</w:t>
      </w:r>
      <w:r w:rsidRPr="00996087">
        <w:rPr>
          <w:i/>
          <w:sz w:val="26"/>
          <w:szCs w:val="26"/>
          <w:lang w:eastAsia="ru-RU"/>
        </w:rPr>
        <w:t xml:space="preserve"> </w:t>
      </w:r>
      <w:r w:rsidRPr="00996087">
        <w:rPr>
          <w:sz w:val="26"/>
          <w:szCs w:val="26"/>
          <w:lang w:eastAsia="ru-RU"/>
        </w:rPr>
        <w:t xml:space="preserve">внутрипоселковых газопроводов составляет:  </w:t>
      </w:r>
    </w:p>
    <w:p w:rsidR="00996087" w:rsidRPr="00996087" w:rsidRDefault="00996087" w:rsidP="00996087">
      <w:pPr>
        <w:suppressAutoHyphens w:val="0"/>
        <w:ind w:left="426" w:hanging="568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2016 год</w:t>
      </w:r>
      <w:r w:rsidRPr="00996087">
        <w:rPr>
          <w:sz w:val="26"/>
          <w:szCs w:val="26"/>
          <w:lang w:eastAsia="ru-RU"/>
        </w:rPr>
        <w:t xml:space="preserve"> – 0 тыс. руб.;</w:t>
      </w:r>
    </w:p>
    <w:p w:rsidR="00996087" w:rsidRPr="00996087" w:rsidRDefault="00996087" w:rsidP="00996087">
      <w:pPr>
        <w:suppressAutoHyphens w:val="0"/>
        <w:ind w:left="426" w:hanging="568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2017 год</w:t>
      </w:r>
      <w:r w:rsidRPr="00996087">
        <w:rPr>
          <w:sz w:val="26"/>
          <w:szCs w:val="26"/>
          <w:lang w:eastAsia="ru-RU"/>
        </w:rPr>
        <w:t xml:space="preserve">  - 0 тыс. руб.;</w:t>
      </w:r>
    </w:p>
    <w:p w:rsidR="00996087" w:rsidRPr="00996087" w:rsidRDefault="00996087" w:rsidP="00996087">
      <w:pPr>
        <w:suppressAutoHyphens w:val="0"/>
        <w:ind w:left="426" w:hanging="568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2018 год</w:t>
      </w:r>
      <w:r w:rsidRPr="00996087">
        <w:rPr>
          <w:sz w:val="26"/>
          <w:szCs w:val="26"/>
          <w:lang w:eastAsia="ru-RU"/>
        </w:rPr>
        <w:t xml:space="preserve">  - 48145,8 тыс. руб., в том числе 25113,8 тыс. рублей средства федерального бюджета (по согласованию), 22476,2 областного бюджета (по согласованию) и 555,8 тыс. рублей местный бюджет;</w:t>
      </w:r>
    </w:p>
    <w:p w:rsidR="00996087" w:rsidRPr="00996087" w:rsidRDefault="00996087" w:rsidP="00996087">
      <w:pPr>
        <w:suppressAutoHyphens w:val="0"/>
        <w:ind w:left="426" w:hanging="568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2019 год</w:t>
      </w:r>
      <w:r w:rsidRPr="00996087">
        <w:rPr>
          <w:sz w:val="26"/>
          <w:szCs w:val="26"/>
          <w:lang w:eastAsia="ru-RU"/>
        </w:rPr>
        <w:t xml:space="preserve">  - 49552,923 тыс. руб., в том числе 24296,0 тыс. рублей средства федерального бюджета (по согласованию), 24766,3 областного бюджета (по согласованию) и 490,623 тыс. рублей местный бюджет;</w:t>
      </w:r>
    </w:p>
    <w:p w:rsidR="00996087" w:rsidRPr="00996087" w:rsidRDefault="00996087" w:rsidP="00996087">
      <w:pPr>
        <w:suppressAutoHyphens w:val="0"/>
        <w:ind w:left="426" w:hanging="568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2020 год</w:t>
      </w:r>
      <w:r w:rsidRPr="00996087">
        <w:rPr>
          <w:sz w:val="26"/>
          <w:szCs w:val="26"/>
          <w:lang w:eastAsia="ru-RU"/>
        </w:rPr>
        <w:t xml:space="preserve">  - 41903,284 тыс. руб., в том числе 24893,0 тыс. рублей средства федерального бюджета (по согласованию), 16595,4 областного бюджета (по согласованию) и 414,884 тыс. рублей местный бюджет;</w:t>
      </w:r>
    </w:p>
    <w:p w:rsidR="00996087" w:rsidRPr="00996087" w:rsidRDefault="00996087" w:rsidP="00996087">
      <w:pPr>
        <w:suppressAutoHyphens w:val="0"/>
        <w:ind w:left="-142" w:hanging="56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996087">
        <w:rPr>
          <w:sz w:val="26"/>
          <w:szCs w:val="26"/>
          <w:lang w:eastAsia="ru-RU"/>
        </w:rPr>
        <w:t>Всего:  139602,007 тыс.руб., в том числе 74302,8 тыс. рублей средства федерального бюджета (по согласованию), в том числе 63837,9 тыс. рублей средства областного бюджета (по согласованию) и 1461,307 тыс. рублей местный бюджет.</w:t>
      </w:r>
    </w:p>
    <w:p w:rsidR="00996087" w:rsidRPr="00996087" w:rsidRDefault="00996087" w:rsidP="00996087">
      <w:pPr>
        <w:suppressAutoHyphens w:val="0"/>
        <w:ind w:left="-142" w:firstLine="491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2. Изложить Приложение № 3 к муниципальной программе «Газификация Первомайского района на 2016 - 2018 годы» в новой редакции, согласно приложению № 1 к настоящему постановлению.</w:t>
      </w:r>
    </w:p>
    <w:p w:rsidR="00996087" w:rsidRPr="00996087" w:rsidRDefault="00996087" w:rsidP="00996087">
      <w:pPr>
        <w:suppressAutoHyphens w:val="0"/>
        <w:ind w:left="-142" w:firstLine="6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3</w:t>
      </w:r>
      <w:r w:rsidRPr="00996087">
        <w:rPr>
          <w:sz w:val="26"/>
          <w:szCs w:val="26"/>
          <w:lang w:eastAsia="ru-RU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r w:rsidRPr="00996087">
        <w:rPr>
          <w:sz w:val="26"/>
          <w:szCs w:val="26"/>
          <w:lang w:val="en-US" w:eastAsia="ru-RU"/>
        </w:rPr>
        <w:t>http</w:t>
      </w:r>
      <w:r w:rsidRPr="00996087">
        <w:rPr>
          <w:sz w:val="26"/>
          <w:szCs w:val="26"/>
          <w:lang w:eastAsia="ru-RU"/>
        </w:rPr>
        <w:t xml:space="preserve">:// </w:t>
      </w:r>
      <w:r w:rsidRPr="00996087">
        <w:rPr>
          <w:sz w:val="26"/>
          <w:szCs w:val="26"/>
          <w:lang w:val="en-US" w:eastAsia="ru-RU"/>
        </w:rPr>
        <w:t>pmr</w:t>
      </w:r>
      <w:r w:rsidRPr="00996087">
        <w:rPr>
          <w:sz w:val="26"/>
          <w:szCs w:val="26"/>
          <w:lang w:eastAsia="ru-RU"/>
        </w:rPr>
        <w:t>.</w:t>
      </w:r>
      <w:r w:rsidRPr="00996087">
        <w:rPr>
          <w:sz w:val="26"/>
          <w:szCs w:val="26"/>
          <w:lang w:val="en-US" w:eastAsia="ru-RU"/>
        </w:rPr>
        <w:t>tomsk</w:t>
      </w:r>
      <w:r w:rsidRPr="00996087">
        <w:rPr>
          <w:sz w:val="26"/>
          <w:szCs w:val="26"/>
          <w:lang w:eastAsia="ru-RU"/>
        </w:rPr>
        <w:t>.</w:t>
      </w:r>
      <w:r w:rsidRPr="00996087">
        <w:rPr>
          <w:sz w:val="26"/>
          <w:szCs w:val="26"/>
          <w:lang w:val="en-US" w:eastAsia="ru-RU"/>
        </w:rPr>
        <w:t>ru</w:t>
      </w:r>
      <w:r w:rsidRPr="00996087">
        <w:rPr>
          <w:sz w:val="26"/>
          <w:szCs w:val="26"/>
          <w:lang w:eastAsia="ru-RU"/>
        </w:rPr>
        <w:t>).</w:t>
      </w:r>
    </w:p>
    <w:p w:rsidR="00996087" w:rsidRPr="00996087" w:rsidRDefault="00996087" w:rsidP="00996087">
      <w:pPr>
        <w:suppressAutoHyphens w:val="0"/>
        <w:ind w:left="-142" w:hanging="14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4</w:t>
      </w:r>
      <w:r w:rsidRPr="00996087">
        <w:rPr>
          <w:sz w:val="26"/>
          <w:szCs w:val="26"/>
          <w:lang w:eastAsia="ru-RU"/>
        </w:rPr>
        <w:t>. Настоящее постановление вступает в силу с даты его официального опубликования и распространяется на правоотношения, возникшие с 01.01.2018 года.</w:t>
      </w:r>
    </w:p>
    <w:p w:rsidR="00996087" w:rsidRPr="00996087" w:rsidRDefault="00996087" w:rsidP="00996087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6"/>
          <w:szCs w:val="26"/>
          <w:lang w:eastAsia="ja-JP"/>
        </w:rPr>
      </w:pPr>
      <w:r w:rsidRPr="00996087">
        <w:rPr>
          <w:rFonts w:eastAsia="MS Mincho"/>
          <w:sz w:val="26"/>
          <w:szCs w:val="26"/>
          <w:lang w:eastAsia="ja-JP"/>
        </w:rPr>
        <w:t>Глава Первомайского района                                                                        И.И. Сиберт</w:t>
      </w: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  <w:r w:rsidRPr="00996087">
        <w:rPr>
          <w:rFonts w:eastAsia="MS Mincho"/>
          <w:sz w:val="20"/>
          <w:szCs w:val="20"/>
          <w:lang w:eastAsia="ja-JP"/>
        </w:rPr>
        <w:t>Жирнова Е.Н</w:t>
      </w: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  <w:r w:rsidRPr="00996087">
        <w:rPr>
          <w:rFonts w:eastAsia="MS Mincho"/>
          <w:sz w:val="20"/>
          <w:szCs w:val="20"/>
          <w:lang w:eastAsia="ja-JP"/>
        </w:rPr>
        <w:t>8 382 (45) 2 17 47</w:t>
      </w:r>
    </w:p>
    <w:p w:rsidR="00032368" w:rsidRPr="00032368" w:rsidRDefault="00032368" w:rsidP="00032368">
      <w:pPr>
        <w:rPr>
          <w:sz w:val="26"/>
          <w:szCs w:val="26"/>
        </w:rPr>
      </w:pPr>
    </w:p>
    <w:p w:rsidR="00032368" w:rsidRDefault="00032368" w:rsidP="00032368">
      <w:pPr>
        <w:rPr>
          <w:sz w:val="26"/>
          <w:szCs w:val="26"/>
        </w:rPr>
      </w:pPr>
    </w:p>
    <w:p w:rsidR="00032368" w:rsidRDefault="00032368" w:rsidP="00032368">
      <w:pPr>
        <w:rPr>
          <w:sz w:val="26"/>
          <w:szCs w:val="26"/>
        </w:rPr>
      </w:pPr>
    </w:p>
    <w:p w:rsidR="003F4623" w:rsidRDefault="003F4623" w:rsidP="00032368">
      <w:pPr>
        <w:rPr>
          <w:sz w:val="26"/>
          <w:szCs w:val="26"/>
        </w:rPr>
        <w:sectPr w:rsidR="003F4623" w:rsidSect="003F4623">
          <w:pgSz w:w="11906" w:h="16838"/>
          <w:pgMar w:top="1134" w:right="849" w:bottom="426" w:left="1701" w:header="709" w:footer="709" w:gutter="0"/>
          <w:cols w:space="708"/>
          <w:docGrid w:linePitch="360"/>
        </w:sectPr>
      </w:pPr>
    </w:p>
    <w:p w:rsidR="003F4623" w:rsidRPr="003F4623" w:rsidRDefault="003F4623" w:rsidP="003F4623">
      <w:pPr>
        <w:suppressAutoHyphens w:val="0"/>
        <w:ind w:firstLine="708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lastRenderedPageBreak/>
        <w:t xml:space="preserve">Приложение1 к Постановлению Администрации </w:t>
      </w:r>
    </w:p>
    <w:p w:rsidR="003F4623" w:rsidRPr="003F4623" w:rsidRDefault="003F4623" w:rsidP="003F4623">
      <w:pPr>
        <w:suppressAutoHyphens w:val="0"/>
        <w:ind w:firstLine="708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Первомайского района от</w:t>
      </w:r>
      <w:r>
        <w:rPr>
          <w:sz w:val="20"/>
          <w:szCs w:val="20"/>
          <w:lang w:eastAsia="ru-RU"/>
        </w:rPr>
        <w:t xml:space="preserve"> 01.06.2018№115</w:t>
      </w:r>
    </w:p>
    <w:p w:rsidR="003F4623" w:rsidRPr="003F4623" w:rsidRDefault="003F4623" w:rsidP="003F4623">
      <w:pPr>
        <w:suppressAutoHyphens w:val="0"/>
        <w:ind w:firstLine="708"/>
        <w:jc w:val="right"/>
        <w:rPr>
          <w:sz w:val="20"/>
          <w:szCs w:val="20"/>
          <w:lang w:eastAsia="ru-RU"/>
        </w:rPr>
      </w:pPr>
    </w:p>
    <w:p w:rsidR="003F4623" w:rsidRPr="003F4623" w:rsidRDefault="003F4623" w:rsidP="003F4623">
      <w:pPr>
        <w:suppressAutoHyphens w:val="0"/>
        <w:ind w:firstLine="708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Приложение 3</w:t>
      </w:r>
    </w:p>
    <w:p w:rsidR="003F4623" w:rsidRPr="003F4623" w:rsidRDefault="003F4623" w:rsidP="003F4623">
      <w:pPr>
        <w:suppressAutoHyphens w:val="0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к муниципальной  программе</w:t>
      </w:r>
    </w:p>
    <w:p w:rsidR="003F4623" w:rsidRPr="003F4623" w:rsidRDefault="003F4623" w:rsidP="003F4623">
      <w:pPr>
        <w:suppressAutoHyphens w:val="0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 xml:space="preserve">«Газификация Первомайского  района </w:t>
      </w:r>
    </w:p>
    <w:p w:rsidR="003F4623" w:rsidRPr="003F4623" w:rsidRDefault="003F4623" w:rsidP="003F4623">
      <w:pPr>
        <w:suppressAutoHyphens w:val="0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на 2016-2018 год и плановый период</w:t>
      </w:r>
    </w:p>
    <w:p w:rsidR="003F4623" w:rsidRPr="003F4623" w:rsidRDefault="003F4623" w:rsidP="003F4623">
      <w:pPr>
        <w:suppressAutoHyphens w:val="0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2019 и 2020 годов»</w:t>
      </w:r>
    </w:p>
    <w:p w:rsidR="003F4623" w:rsidRPr="003F4623" w:rsidRDefault="003F4623" w:rsidP="003F4623">
      <w:pPr>
        <w:suppressAutoHyphens w:val="0"/>
        <w:jc w:val="center"/>
        <w:rPr>
          <w:rFonts w:eastAsia="MS Mincho"/>
          <w:lang w:eastAsia="ja-JP"/>
        </w:rPr>
      </w:pPr>
      <w:r w:rsidRPr="003F4623">
        <w:rPr>
          <w:rFonts w:eastAsia="MS Mincho"/>
          <w:lang w:eastAsia="ja-JP"/>
        </w:rPr>
        <w:t>Перечень программных мероприятий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087"/>
        <w:gridCol w:w="1606"/>
        <w:gridCol w:w="1134"/>
        <w:gridCol w:w="993"/>
        <w:gridCol w:w="1134"/>
        <w:gridCol w:w="1558"/>
        <w:gridCol w:w="1844"/>
      </w:tblGrid>
      <w:tr w:rsidR="003F4623" w:rsidRPr="003F4623" w:rsidTr="00FF64DD">
        <w:tc>
          <w:tcPr>
            <w:tcW w:w="1418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Задачи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Сроки исполнения, год</w:t>
            </w:r>
          </w:p>
        </w:tc>
        <w:tc>
          <w:tcPr>
            <w:tcW w:w="1134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Потребность в финансировании, всего, тыс. руб.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В том числе за счет средств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Ответственные исполнители</w:t>
            </w:r>
          </w:p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Показатели результата мероприятия</w:t>
            </w:r>
          </w:p>
        </w:tc>
      </w:tr>
      <w:tr w:rsidR="003F4623" w:rsidRPr="003F4623" w:rsidTr="00FF64DD">
        <w:tc>
          <w:tcPr>
            <w:tcW w:w="1418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087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Федерального бюджета</w:t>
            </w: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Областного бюджета (по согласованию)</w:t>
            </w: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Внебюджетных источников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3F4623" w:rsidRPr="003F4623" w:rsidTr="00FF64DD"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Задача 1.</w:t>
            </w:r>
          </w:p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Организация строительства внутрипоселковых газопроводов</w:t>
            </w:r>
          </w:p>
        </w:tc>
        <w:tc>
          <w:tcPr>
            <w:tcW w:w="1701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1. Выбор подрядных организаций для осуществления строительства внутрипоселковых газопроводов</w:t>
            </w: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087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Экономия средств, предусмотренных на строительство газораспределительных сетей минимум на 5%</w:t>
            </w:r>
          </w:p>
        </w:tc>
      </w:tr>
      <w:tr w:rsidR="003F4623" w:rsidRPr="003F4623" w:rsidTr="00FF64DD">
        <w:tc>
          <w:tcPr>
            <w:tcW w:w="1418" w:type="dxa"/>
            <w:vMerge/>
            <w:textDirection w:val="btLr"/>
            <w:vAlign w:val="center"/>
          </w:tcPr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2. Работы по строительству внутрипоселковых газопроводов с. Первомайское</w:t>
            </w: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2018-2020</w:t>
            </w: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139522,107</w:t>
            </w:r>
          </w:p>
        </w:tc>
        <w:tc>
          <w:tcPr>
            <w:tcW w:w="1087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74302,8</w:t>
            </w: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63837,9</w:t>
            </w: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1381,407</w:t>
            </w: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b/>
                <w:sz w:val="16"/>
                <w:szCs w:val="16"/>
                <w:lang w:eastAsia="ja-JP"/>
              </w:rPr>
              <w:t>х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Строительство газораспределительных сетей  всего 66,919  км.</w:t>
            </w:r>
          </w:p>
        </w:tc>
      </w:tr>
      <w:tr w:rsidR="003F4623" w:rsidRPr="003F4623" w:rsidTr="00FF64DD">
        <w:tc>
          <w:tcPr>
            <w:tcW w:w="1418" w:type="dxa"/>
            <w:vMerge/>
            <w:textDirection w:val="btLr"/>
            <w:vAlign w:val="center"/>
          </w:tcPr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 xml:space="preserve">3.Пересчет сметной  документации по 1 (первому) этапу строительства в федеральные единичные расценки (база 2017), выполненной в территориальных единичных расценках в 2013 году по объекту: «Газоснабжение с. Первомайское  Первомайского района Томской области» </w:t>
            </w: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75,0</w:t>
            </w:r>
          </w:p>
        </w:tc>
        <w:tc>
          <w:tcPr>
            <w:tcW w:w="1087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75,0</w:t>
            </w: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Готовая сметная документация по первому этапу 1 шт</w:t>
            </w:r>
          </w:p>
        </w:tc>
      </w:tr>
      <w:tr w:rsidR="003F4623" w:rsidRPr="003F4623" w:rsidTr="00FF64DD">
        <w:trPr>
          <w:trHeight w:val="4254"/>
        </w:trPr>
        <w:tc>
          <w:tcPr>
            <w:tcW w:w="1418" w:type="dxa"/>
            <w:textDirection w:val="btLr"/>
            <w:vAlign w:val="center"/>
          </w:tcPr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lastRenderedPageBreak/>
              <w:t>Задача 2. Обеспечение технической возможности подключения потребителей к сети газоснабжения</w:t>
            </w:r>
          </w:p>
        </w:tc>
        <w:tc>
          <w:tcPr>
            <w:tcW w:w="1701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1.Сдача/прием объектов газификации в эксплуатацию</w:t>
            </w:r>
          </w:p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2016-2018</w:t>
            </w: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Сдача/прием внутрипоселковых газопроводов в эксплуатацию в сроки, определенные муниципальным контрактами</w:t>
            </w:r>
          </w:p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Количество домовладений, получивших возможность доступа к сети газоснабжения, всего 1797 ед.</w:t>
            </w:r>
          </w:p>
        </w:tc>
      </w:tr>
    </w:tbl>
    <w:p w:rsidR="003F4623" w:rsidRPr="003F4623" w:rsidRDefault="003F4623" w:rsidP="003F4623">
      <w:pPr>
        <w:suppressAutoHyphens w:val="0"/>
        <w:rPr>
          <w:rFonts w:eastAsia="MS Mincho"/>
          <w:lang w:eastAsia="ja-JP"/>
        </w:rPr>
      </w:pPr>
    </w:p>
    <w:p w:rsidR="003F4623" w:rsidRPr="003F4623" w:rsidRDefault="003F4623" w:rsidP="003F4623">
      <w:pPr>
        <w:suppressAutoHyphens w:val="0"/>
        <w:rPr>
          <w:rFonts w:eastAsia="MS Mincho"/>
          <w:lang w:eastAsia="ja-JP"/>
        </w:rPr>
      </w:pPr>
    </w:p>
    <w:p w:rsidR="00032368" w:rsidRDefault="00032368" w:rsidP="00032368">
      <w:pPr>
        <w:rPr>
          <w:sz w:val="26"/>
          <w:szCs w:val="26"/>
        </w:rPr>
      </w:pPr>
    </w:p>
    <w:sectPr w:rsidR="00032368" w:rsidSect="00D7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68F"/>
    <w:multiLevelType w:val="multilevel"/>
    <w:tmpl w:val="C8B4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8575D41"/>
    <w:multiLevelType w:val="multilevel"/>
    <w:tmpl w:val="CB7C0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710D5AB6"/>
    <w:multiLevelType w:val="hybridMultilevel"/>
    <w:tmpl w:val="A4F84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7A49B7"/>
    <w:multiLevelType w:val="hybridMultilevel"/>
    <w:tmpl w:val="8856C546"/>
    <w:lvl w:ilvl="0" w:tplc="90160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68"/>
    <w:rsid w:val="00032368"/>
    <w:rsid w:val="00291A2B"/>
    <w:rsid w:val="003F4623"/>
    <w:rsid w:val="005872E4"/>
    <w:rsid w:val="00996087"/>
    <w:rsid w:val="00A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C710"/>
  <w15:chartTrackingRefBased/>
  <w15:docId w15:val="{1C719B89-B81B-4D27-A863-C31C7C39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2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cp:lastPrinted>2018-06-05T09:46:00Z</cp:lastPrinted>
  <dcterms:created xsi:type="dcterms:W3CDTF">2018-05-31T05:29:00Z</dcterms:created>
  <dcterms:modified xsi:type="dcterms:W3CDTF">2018-06-05T09:46:00Z</dcterms:modified>
</cp:coreProperties>
</file>