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14F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4614F8" w:rsidRPr="004614F8" w:rsidRDefault="004614F8" w:rsidP="004614F8">
      <w:pPr>
        <w:suppressAutoHyphens/>
        <w:spacing w:before="480" w:after="48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>19.11.2018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№ 393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72"/>
      </w:tblGrid>
      <w:tr w:rsidR="004614F8" w:rsidRPr="004614F8" w:rsidTr="00C62A80">
        <w:tc>
          <w:tcPr>
            <w:tcW w:w="8472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Об утверждении муниципальной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программы «Меры поддержки кадрового обеспечения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в Первомайском районе на 2019 – 2021 годы»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Первомайского района, затрачиваемым финансовым ресурсам, в соответствии со ст. 179.3  Бюджетного кодекса Российской Федерации 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</w:p>
    <w:p w:rsidR="004614F8" w:rsidRPr="004614F8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sz w:val="26"/>
          <w:szCs w:val="26"/>
          <w:lang w:eastAsia="ru-RU"/>
        </w:rPr>
      </w:pPr>
    </w:p>
    <w:p w:rsidR="004614F8" w:rsidRPr="004614F8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ПОСТАНОВЛЯЮ:</w:t>
      </w:r>
    </w:p>
    <w:p w:rsidR="004614F8" w:rsidRPr="004614F8" w:rsidRDefault="004614F8" w:rsidP="004614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муниципальную программу «Меры поддержки кадрового обеспечения в Первомайском районе на 2019 – 2021 годы» согласно приложению.</w:t>
      </w:r>
    </w:p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5" w:history="1"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(</w:t>
        </w:r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proofErr w:type="spellStart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pmr</w:t>
        </w:r>
        <w:proofErr w:type="spellEnd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tomsk</w:t>
        </w:r>
        <w:proofErr w:type="spellEnd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4614F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/)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14F8" w:rsidRPr="004614F8" w:rsidRDefault="004614F8" w:rsidP="004614F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 01.01.2019 года.</w:t>
      </w:r>
    </w:p>
    <w:p w:rsidR="004614F8" w:rsidRPr="004614F8" w:rsidRDefault="004614F8" w:rsidP="004614F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1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С.А. </w:t>
      </w:r>
      <w:proofErr w:type="spellStart"/>
      <w:r w:rsidRPr="004614F8">
        <w:rPr>
          <w:rFonts w:ascii="Times New Roman" w:eastAsia="Times New Roman" w:hAnsi="Times New Roman" w:cs="Times New Roman"/>
          <w:sz w:val="16"/>
          <w:szCs w:val="16"/>
          <w:lang w:eastAsia="ru-RU"/>
        </w:rPr>
        <w:t>Мазаник</w:t>
      </w:r>
      <w:proofErr w:type="spellEnd"/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16"/>
          <w:szCs w:val="16"/>
          <w:lang w:eastAsia="ru-RU"/>
        </w:rPr>
        <w:t>2 24 52</w:t>
      </w: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4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19.11.2018</w:t>
      </w:r>
      <w:proofErr w:type="gramEnd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393         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614F8" w:rsidRPr="004614F8" w:rsidRDefault="004614F8" w:rsidP="004614F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«Меры поддержки кадрового обеспечения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Первомайском районе на 2019 -2021 годы»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14F8" w:rsidRPr="004614F8" w:rsidRDefault="004614F8" w:rsidP="004614F8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«Меры поддержки кадрового обеспечения в Первомайском районе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2019 -2021 годы»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2126"/>
        <w:gridCol w:w="850"/>
        <w:gridCol w:w="284"/>
        <w:gridCol w:w="992"/>
        <w:gridCol w:w="425"/>
        <w:gridCol w:w="851"/>
        <w:gridCol w:w="283"/>
        <w:gridCol w:w="1036"/>
      </w:tblGrid>
      <w:tr w:rsidR="004614F8" w:rsidRPr="004614F8" w:rsidTr="00C62A80">
        <w:trPr>
          <w:trHeight w:val="1109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 программа</w:t>
            </w:r>
            <w:proofErr w:type="gramEnd"/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«Меры поддержки кадрового обеспечения в Первомайском районе на 2019 -2021 годы»</w:t>
            </w:r>
          </w:p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(далее –Программа)</w:t>
            </w:r>
          </w:p>
        </w:tc>
      </w:tr>
      <w:tr w:rsidR="004614F8" w:rsidRPr="004614F8" w:rsidTr="00C62A80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 Первомайского района по социальной политике</w:t>
            </w:r>
          </w:p>
        </w:tc>
      </w:tr>
      <w:tr w:rsidR="004614F8" w:rsidRPr="004614F8" w:rsidTr="00C62A80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Первомайского района </w:t>
            </w:r>
          </w:p>
        </w:tc>
      </w:tr>
      <w:tr w:rsidR="004614F8" w:rsidRPr="004614F8" w:rsidTr="00C62A80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и качества жизни  населения.</w:t>
            </w:r>
          </w:p>
        </w:tc>
      </w:tr>
      <w:tr w:rsidR="004614F8" w:rsidRPr="004614F8" w:rsidTr="00C62A80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Программы: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-поддержка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4614F8" w:rsidRPr="004614F8" w:rsidTr="00C62A80">
        <w:trPr>
          <w:trHeight w:val="59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862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кадрового состава организации, чел.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4F8" w:rsidRPr="004614F8" w:rsidTr="00C62A80">
        <w:trPr>
          <w:trHeight w:val="88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задачи Программы: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-оказание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выплата молодым специалистам, чел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614F8" w:rsidRPr="004614F8" w:rsidTr="00C62A80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 реализации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2019-2021 годы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этап – 2019 год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этап – 2020 год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этап – 2021 год</w:t>
            </w:r>
          </w:p>
        </w:tc>
      </w:tr>
      <w:tr w:rsidR="004614F8" w:rsidRPr="004614F8" w:rsidTr="00C62A80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43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1051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управления муниципальной Программы</w:t>
            </w:r>
          </w:p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контроль и мониторинг реализации МП осуществляют: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 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МКУ «Управление образования Администрации Первомайского района»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* -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</w:t>
      </w: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уточняется при принятии бюджета на очередной финансовый год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Первомайского района идет тенденция к снижению количества молодых квалифицированных кадров, прибывающих на работу в сельскую местность.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улучшения ситуации по привлечению квалифицированных специалистов, закрепления молодежи на селе, необходимо решение жилищных проблем молодых специалистов, достойной заработной платы.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«Меры поддержки кадрового обеспечения в Первомайском районе» (далее именуемая - программа) разработана для осуществления финансовой поддержки специалистов, прибывающих на работу в бюджетные организации (здравоохранение, образование, культура).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программы - </w:t>
      </w:r>
      <w:r w:rsidRPr="004614F8">
        <w:rPr>
          <w:rFonts w:ascii="Times New Roman" w:eastAsia="Times New Roman" w:hAnsi="Times New Roman" w:cs="Times New Roman"/>
          <w:sz w:val="26"/>
          <w:szCs w:val="26"/>
        </w:rPr>
        <w:t>поддержка молодых специалистов, прибывающих на работу в бюджетные организации Первомайского района.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 целей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04"/>
        <w:gridCol w:w="1845"/>
        <w:gridCol w:w="1845"/>
        <w:gridCol w:w="1907"/>
      </w:tblGrid>
      <w:tr w:rsidR="004614F8" w:rsidRPr="004614F8" w:rsidTr="00C62A80">
        <w:trPr>
          <w:trHeight w:val="592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862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кадрового состава организации, чел.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4614F8" w:rsidRPr="004614F8" w:rsidRDefault="004614F8" w:rsidP="004614F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Задачей программы является: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 финансовой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 молодым специалистам за счет средств бюджета муниципального образования «Первомайский район».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04"/>
        <w:gridCol w:w="1845"/>
        <w:gridCol w:w="1845"/>
        <w:gridCol w:w="1907"/>
      </w:tblGrid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Возмещение расходов, связанных с наймом жилья, отдельным категориям граждан, состоящим в 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трудовых отношениях с ОГБУЗ «Первомайская районная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больница», чел.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Единовременная выплата молодым специалистам, чел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4614F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shd w:val="clear" w:color="auto" w:fill="FFFFFF"/>
          <w:lang w:eastAsia="ru-RU"/>
        </w:rPr>
        <w:t xml:space="preserve">             </w:t>
      </w:r>
      <w:r w:rsidRPr="004614F8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C77694">
          <w:headerReference w:type="default" r:id="rId6"/>
          <w:pgSz w:w="11906" w:h="16838"/>
          <w:pgMar w:top="1134" w:right="566" w:bottom="1134" w:left="1701" w:header="709" w:footer="709" w:gutter="0"/>
          <w:cols w:space="720"/>
          <w:docGrid w:linePitch="272"/>
        </w:sect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3.Перечень программных мероприятий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1"/>
        <w:gridCol w:w="1559"/>
        <w:gridCol w:w="1627"/>
        <w:gridCol w:w="924"/>
        <w:gridCol w:w="1134"/>
        <w:gridCol w:w="1133"/>
        <w:gridCol w:w="992"/>
        <w:gridCol w:w="1686"/>
        <w:gridCol w:w="2001"/>
        <w:gridCol w:w="29"/>
      </w:tblGrid>
      <w:tr w:rsidR="004614F8" w:rsidRPr="004614F8" w:rsidTr="00C62A80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непосредственного результата 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614F8" w:rsidRPr="004614F8" w:rsidTr="00C62A80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4F8" w:rsidRPr="004614F8" w:rsidTr="00C62A80">
        <w:trPr>
          <w:trHeight w:val="289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Цель - </w:t>
            </w: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4614F8" w:rsidRPr="004614F8" w:rsidTr="00C62A80">
        <w:trPr>
          <w:trHeight w:val="617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Задача1. </w:t>
            </w: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4614F8" w:rsidRPr="004614F8" w:rsidTr="00C62A80">
        <w:trPr>
          <w:trHeight w:val="26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>1.Оказание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852,96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молодых специалистов, получивших финансовую помощь, чел. </w:t>
            </w:r>
          </w:p>
        </w:tc>
      </w:tr>
      <w:tr w:rsidR="004614F8" w:rsidRPr="004614F8" w:rsidTr="00C62A8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получивших возмещение расходов, чел.</w:t>
            </w: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3.Единовременная выплата молодым специалистам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молодых специалистов получивших поддержку в размере по 10000 рублей на человека </w:t>
            </w: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первой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1076,96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4F8" w:rsidRPr="004614F8" w:rsidRDefault="004614F8" w:rsidP="004614F8">
      <w:pPr>
        <w:widowControl w:val="0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Организационные мероприятия:</w:t>
      </w:r>
    </w:p>
    <w:p w:rsidR="004614F8" w:rsidRPr="004614F8" w:rsidRDefault="004614F8" w:rsidP="004614F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4614F8" w:rsidRPr="004614F8" w:rsidRDefault="004614F8" w:rsidP="004614F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выплачивать ежемесячно материальную помощь к заработной плате.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9C07A6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ресурсного обеспечения муниципальной программы.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предусматривает финансирование 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 бюджета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«Первомайский район».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специалистов в организациях образования, здравоохранения и культуры на 2019 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и  планируемые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2020, 2021 года учитывается исходя из предоставленных учреждениями реестров-заявок. При расчете размера материальной помощи учитывается, что она полностью выплачивается из бюджета муниципального образования «Первомайский район».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Объёмы финансирования подлежат ежегодной корректировке исходя из возможностей бюджета.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и источники финансирования Программы представлен в таблице: 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74"/>
        <w:gridCol w:w="1640"/>
        <w:gridCol w:w="2049"/>
        <w:gridCol w:w="1640"/>
        <w:gridCol w:w="1498"/>
      </w:tblGrid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</w:tbl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14F8" w:rsidRPr="004614F8" w:rsidRDefault="004614F8" w:rsidP="004614F8">
      <w:pPr>
        <w:tabs>
          <w:tab w:val="left" w:pos="849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849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4614F8" w:rsidRPr="004614F8" w:rsidRDefault="004614F8" w:rsidP="004614F8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Объем и основные направления расходования средств (с детализацией по годам реализации, тыс. рублей) представлен в таблице:</w:t>
      </w:r>
    </w:p>
    <w:p w:rsidR="004614F8" w:rsidRPr="004614F8" w:rsidRDefault="004614F8" w:rsidP="004614F8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1523"/>
        <w:gridCol w:w="1379"/>
        <w:gridCol w:w="1422"/>
        <w:gridCol w:w="1858"/>
      </w:tblGrid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финансовой поддержки специалистов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852,96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336,48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336,48</w:t>
            </w:r>
          </w:p>
        </w:tc>
      </w:tr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выплата молодым специалистам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средств бюджета муниципального образования «Первомайский район» на выплаты материальной помощи молодым специалистам рассчитывается: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учреждений образования -1496 рублей в месяц на человека с учетом начислений;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учреждений культуры - 1400 рублей на человека с учетом начислений.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Потребность средств бюджета муниципального образования «Первомайский район» на возмещение расходов, связанных с наймом 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жилья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в размере 50% от размера оплаты найма жилого помещения, установленного договором найма жилого помещения.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выплата в виде материальной помощи в сумме 1496 рублей (с учетом районного коэффициента) специалистам, работающим в учреждениях образования, здравоохранения, культуры в течение первого года работы с первого числа месяца, следующего за месяцем трудоустройства.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Материальная поддержка предоставляется специалистам при соблюдении следующих условий: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проживание и наличие регистрации на территории Первомайского района;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трудоустройство в бюджетной организации на территории Первомайского района.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Для получения социальной выплаты в виде материальной помощи, учреждения образования, здравоохранения и культуры ежемесячно подают реестры на выплату специалистам, работающим первый год в данных учреждениях.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Финансовое управление Администрации Первомайского района предоставляет социальную выплату путем перечисления денежных средств работодателю, который выдает ее затем специалисту.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 увольнении с работы до истечения срока договора (5 лет) сумма социальной выплаты возвращается специалистом в местный бюджет в полном объеме.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образования, здравоохранения, культуры обеспечивают целевое использование средств, выделяемых на реализацию программы, ежемесячно до 5 числа текущего месяца представляют отчеты в виде реестра – заявки (Приложение №1 к программе) в финансово управление Администрации Первомайского района.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программы осуществляет заместитель Главы по Социальной политике 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Администрации Первомайского района, Управление образование Администрации Первомайского района.</w:t>
      </w:r>
    </w:p>
    <w:p w:rsidR="004614F8" w:rsidRPr="004614F8" w:rsidRDefault="004614F8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молодых специалистов об условиях и порядке предоставления средств;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выполнение мероприятий программы позволит обеспечить: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социально-экономического развития района;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положительных демографических тенденций;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закрепление молодежи и молодых специалистов на селе.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позволят улучшить социально-экономическую обстановку в районе.</w:t>
      </w:r>
    </w:p>
    <w:p w:rsidR="004614F8" w:rsidRPr="004614F8" w:rsidRDefault="004614F8" w:rsidP="004614F8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proofErr w:type="gramStart"/>
      <w:r w:rsidRPr="00461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 эффективности</w:t>
      </w:r>
      <w:proofErr w:type="gramEnd"/>
      <w:r w:rsidRPr="00461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4614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9C07A6"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к </w:t>
      </w:r>
      <w:proofErr w:type="gramStart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программе</w:t>
      </w:r>
      <w:proofErr w:type="gramEnd"/>
    </w:p>
    <w:p w:rsidR="004614F8" w:rsidRPr="004614F8" w:rsidRDefault="004614F8" w:rsidP="004614F8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 __________________ __________________                                                        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поддержки кадрового обеспечения в</w:t>
      </w:r>
    </w:p>
    <w:p w:rsidR="004614F8" w:rsidRPr="004614F8" w:rsidRDefault="004614F8" w:rsidP="004614F8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(Ф.И.О.)руководителя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Первомайском районе на 2019 – 2021 </w:t>
      </w:r>
      <w:proofErr w:type="spellStart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РЕЕСТР-ЗАЯВКА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субсидию в виде материальной помощи молодым специалистам _____________________ по муниципальной       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(наименование учреждения)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 «Меры поддержки кадрового обеспечения в Первомайском районе на 2019-2021г.г.»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_______________20__г.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(месяц)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29"/>
        <w:gridCol w:w="1929"/>
        <w:gridCol w:w="1542"/>
        <w:gridCol w:w="1620"/>
        <w:gridCol w:w="1620"/>
        <w:gridCol w:w="1620"/>
        <w:gridCol w:w="1620"/>
      </w:tblGrid>
      <w:tr w:rsidR="004614F8" w:rsidRPr="004614F8" w:rsidTr="00C62A80">
        <w:tc>
          <w:tcPr>
            <w:tcW w:w="2808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Работодатель</w:t>
            </w: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 программы</w:t>
            </w: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субсидии</w:t>
            </w:r>
          </w:p>
        </w:tc>
        <w:tc>
          <w:tcPr>
            <w:tcW w:w="1542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КФСР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КЦСР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КОСГУ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КВСР</w:t>
            </w:r>
          </w:p>
        </w:tc>
      </w:tr>
      <w:tr w:rsidR="004614F8" w:rsidRPr="004614F8" w:rsidTr="00C62A80">
        <w:tc>
          <w:tcPr>
            <w:tcW w:w="2808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14F8" w:rsidRPr="004614F8" w:rsidTr="00C62A80">
        <w:tc>
          <w:tcPr>
            <w:tcW w:w="2808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7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лицо за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4614F8" w:rsidRPr="004614F8" w:rsidRDefault="004614F8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формы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(Ф.И.О.)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523" w:rsidRDefault="00D77523"/>
    <w:sectPr w:rsidR="00D77523" w:rsidSect="004614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323" w:rsidRPr="009F2B57" w:rsidRDefault="004614F8">
    <w:pPr>
      <w:pStyle w:val="a3"/>
      <w:rPr>
        <w:b/>
        <w:sz w:val="18"/>
      </w:rPr>
    </w:pPr>
  </w:p>
  <w:p w:rsidR="00F75323" w:rsidRDefault="004614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" w15:restartNumberingAfterBreak="0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B"/>
    <w:rsid w:val="004614F8"/>
    <w:rsid w:val="007D334B"/>
    <w:rsid w:val="00D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2C8F"/>
  <w15:chartTrackingRefBased/>
  <w15:docId w15:val="{A4A1219B-D1DC-4B27-8714-03D5E3B0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2018-11-20T08:43:00Z</dcterms:created>
  <dcterms:modified xsi:type="dcterms:W3CDTF">2018-11-20T08:48:00Z</dcterms:modified>
</cp:coreProperties>
</file>